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7437" w:rsidRDefault="00000000">
      <w:pPr>
        <w:pStyle w:val="Title"/>
        <w:ind w:left="-1440"/>
      </w:pPr>
      <w:bookmarkStart w:id="0" w:name="_heading=h.gjdgxs" w:colFirst="0" w:colLast="0"/>
      <w:bookmarkEnd w:id="0"/>
      <w:r>
        <w:rPr>
          <w:noProof/>
        </w:rPr>
        <w:drawing>
          <wp:inline distT="0" distB="0" distL="0" distR="0">
            <wp:extent cx="7827457" cy="2289699"/>
            <wp:effectExtent l="0" t="0" r="0" b="0"/>
            <wp:docPr id="916876598" name="image1.jpg" descr="A blue and white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white sign&#10;&#10;Description automatically generated"/>
                    <pic:cNvPicPr preferRelativeResize="0"/>
                  </pic:nvPicPr>
                  <pic:blipFill>
                    <a:blip r:embed="rId7"/>
                    <a:srcRect/>
                    <a:stretch>
                      <a:fillRect/>
                    </a:stretch>
                  </pic:blipFill>
                  <pic:spPr>
                    <a:xfrm>
                      <a:off x="0" y="0"/>
                      <a:ext cx="7827457" cy="2289699"/>
                    </a:xfrm>
                    <a:prstGeom prst="rect">
                      <a:avLst/>
                    </a:prstGeom>
                    <a:ln/>
                  </pic:spPr>
                </pic:pic>
              </a:graphicData>
            </a:graphic>
          </wp:inline>
        </w:drawing>
      </w:r>
      <w:r>
        <w:t xml:space="preserve"> </w:t>
      </w:r>
    </w:p>
    <w:p w:rsidR="00B17437" w:rsidRDefault="00B17437">
      <w:pPr>
        <w:ind w:left="-90"/>
        <w:rPr>
          <w:b/>
          <w:bCs/>
          <w:color w:val="0071C5"/>
        </w:rPr>
      </w:pPr>
    </w:p>
    <w:p w:rsidR="00B17437" w:rsidRDefault="00000000">
      <w:pPr>
        <w:ind w:left="-90"/>
        <w:rPr>
          <w:b/>
          <w:bCs/>
          <w:color w:val="0071C5"/>
        </w:rPr>
      </w:pPr>
      <w:r>
        <w:rPr>
          <w:b/>
          <w:bCs/>
          <w:color w:val="0071C5"/>
        </w:rPr>
        <w:t xml:space="preserve">This tool is designed to help the PFAC team reflect on potential barriers to participation for PFAs. </w:t>
      </w:r>
    </w:p>
    <w:p w:rsidR="00B17437" w:rsidRDefault="00B17437">
      <w:pPr>
        <w:ind w:hanging="90"/>
        <w:rPr>
          <w:b/>
          <w:bCs/>
          <w:color w:val="0071C5"/>
        </w:rPr>
      </w:pPr>
    </w:p>
    <w:p w:rsidR="00B17437" w:rsidRDefault="00000000">
      <w:pPr>
        <w:ind w:left="-90"/>
      </w:pPr>
      <w:r>
        <w:t>Use this worksheet to reflect on potential barriers to participation for PFAs. Discuss the questions in this worksheet with the PFAC team, current PFAs, and other individuals who can help develop an understanding of the experiences and perspectives of the range of patients and families served by the hospital. Remember that some items on this worksheet may not be barriers to participation for current PFAs but may be barriers as you work to improve PFAC representativeness.</w:t>
      </w:r>
    </w:p>
    <w:p w:rsidR="00B17437" w:rsidRDefault="00B17437">
      <w:pPr>
        <w:ind w:left="-90"/>
      </w:pPr>
    </w:p>
    <w:p w:rsidR="00B17437" w:rsidRDefault="00000000">
      <w:pPr>
        <w:ind w:left="-90"/>
        <w:sectPr w:rsidR="00B17437">
          <w:headerReference w:type="even" r:id="rId8"/>
          <w:headerReference w:type="default" r:id="rId9"/>
          <w:footerReference w:type="even" r:id="rId10"/>
          <w:footerReference w:type="default" r:id="rId11"/>
          <w:headerReference w:type="first" r:id="rId12"/>
          <w:footerReference w:type="first" r:id="rId13"/>
          <w:pgSz w:w="12240" w:h="15840"/>
          <w:pgMar w:top="0" w:right="1440" w:bottom="835" w:left="1440" w:header="720" w:footer="144" w:gutter="0"/>
          <w:pgNumType w:start="1"/>
          <w:cols w:space="720"/>
        </w:sectPr>
      </w:pPr>
      <w:r>
        <w:t xml:space="preserve">As needed, reach out to leaders and staff within the hospital who can help revise policies and processes to address barriers. Some barriers may be easier to address (e.g., changing the time of a PFAC meeting), while others may require more time and work (e.g., revisiting policies and processes related to background checks). Revisit this worksheet periodically to assess progress. </w:t>
      </w:r>
    </w:p>
    <w:p w:rsidR="00B17437" w:rsidRDefault="00B17437">
      <w:pPr>
        <w:ind w:left="-90"/>
        <w:sectPr w:rsidR="00B17437">
          <w:type w:val="continuous"/>
          <w:pgSz w:w="12240" w:h="15840"/>
          <w:pgMar w:top="1035" w:right="1440" w:bottom="720" w:left="1440" w:header="720" w:footer="144" w:gutter="0"/>
          <w:pgNumType w:start="1"/>
          <w:cols w:space="720"/>
        </w:sectPr>
      </w:pPr>
    </w:p>
    <w:p w:rsidR="00B17437" w:rsidRDefault="00B17437">
      <w:pPr>
        <w:ind w:left="-90"/>
      </w:pPr>
    </w:p>
    <w:tbl>
      <w:tblPr>
        <w:tblStyle w:val="a3"/>
        <w:tblW w:w="1287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0"/>
        <w:gridCol w:w="1170"/>
        <w:gridCol w:w="1080"/>
        <w:gridCol w:w="4320"/>
      </w:tblGrid>
      <w:tr w:rsidR="00B17437">
        <w:trPr>
          <w:trHeight w:val="420"/>
          <w:tblHeader/>
        </w:trPr>
        <w:tc>
          <w:tcPr>
            <w:tcW w:w="6300" w:type="dxa"/>
            <w:vMerge w:val="restart"/>
            <w:shd w:val="clear" w:color="auto" w:fill="284291"/>
            <w:vAlign w:val="center"/>
          </w:tcPr>
          <w:p w:rsidR="00B17437" w:rsidRDefault="00000000">
            <w:pPr>
              <w:widowControl w:val="0"/>
              <w:ind w:left="-19"/>
              <w:rPr>
                <w:b/>
                <w:bCs/>
                <w:color w:val="FFFFFF"/>
              </w:rPr>
            </w:pPr>
            <w:r>
              <w:rPr>
                <w:b/>
                <w:bCs/>
                <w:color w:val="FFFFFF"/>
              </w:rPr>
              <w:t>Potential barriers to participation</w:t>
            </w:r>
          </w:p>
        </w:tc>
        <w:tc>
          <w:tcPr>
            <w:tcW w:w="2250" w:type="dxa"/>
            <w:gridSpan w:val="2"/>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vAlign w:val="center"/>
          </w:tcPr>
          <w:p w:rsidR="00B17437" w:rsidRDefault="00000000">
            <w:pPr>
              <w:widowControl w:val="0"/>
              <w:ind w:left="-90"/>
              <w:jc w:val="center"/>
              <w:rPr>
                <w:b/>
                <w:bCs/>
                <w:color w:val="FFFFFF"/>
              </w:rPr>
            </w:pPr>
            <w:r>
              <w:rPr>
                <w:b/>
                <w:bCs/>
                <w:color w:val="FFFFFF"/>
              </w:rPr>
              <w:t>Have we addressed this barrier?</w:t>
            </w:r>
          </w:p>
        </w:tc>
        <w:tc>
          <w:tcPr>
            <w:tcW w:w="4320" w:type="dxa"/>
            <w:vMerge w:val="restart"/>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vAlign w:val="center"/>
          </w:tcPr>
          <w:p w:rsidR="00B17437" w:rsidRDefault="00000000">
            <w:pPr>
              <w:widowControl w:val="0"/>
              <w:spacing w:line="240" w:lineRule="auto"/>
              <w:rPr>
                <w:b/>
                <w:bCs/>
                <w:color w:val="FFFFFF"/>
              </w:rPr>
            </w:pPr>
            <w:r>
              <w:rPr>
                <w:b/>
                <w:bCs/>
                <w:color w:val="FFFFFF"/>
              </w:rPr>
              <w:t>Opportunities for improvement</w:t>
            </w:r>
          </w:p>
          <w:p w:rsidR="00B17437" w:rsidRDefault="00B17437">
            <w:pPr>
              <w:widowControl w:val="0"/>
              <w:spacing w:line="120" w:lineRule="auto"/>
              <w:rPr>
                <w:color w:val="FFFFFF"/>
              </w:rPr>
            </w:pPr>
          </w:p>
          <w:p w:rsidR="00B17437" w:rsidRDefault="00000000">
            <w:pPr>
              <w:widowControl w:val="0"/>
              <w:rPr>
                <w:color w:val="FFFFFF"/>
              </w:rPr>
            </w:pPr>
            <w:r>
              <w:rPr>
                <w:color w:val="FFFFFF"/>
              </w:rPr>
              <w:t>Use this column for notes about areas for improvement</w:t>
            </w:r>
          </w:p>
        </w:tc>
      </w:tr>
      <w:tr w:rsidR="00B17437">
        <w:trPr>
          <w:trHeight w:val="420"/>
          <w:tblHeader/>
        </w:trPr>
        <w:tc>
          <w:tcPr>
            <w:tcW w:w="6300" w:type="dxa"/>
            <w:vMerge/>
            <w:shd w:val="clear" w:color="auto" w:fill="284291"/>
            <w:vAlign w:val="center"/>
          </w:tcPr>
          <w:p w:rsidR="00B17437" w:rsidRDefault="00B17437">
            <w:pPr>
              <w:widowControl w:val="0"/>
              <w:pBdr>
                <w:top w:val="nil"/>
                <w:left w:val="nil"/>
                <w:bottom w:val="nil"/>
                <w:right w:val="nil"/>
                <w:between w:val="nil"/>
              </w:pBdr>
              <w:rPr>
                <w:color w:val="FFFFFF"/>
              </w:rPr>
            </w:pPr>
          </w:p>
        </w:tc>
        <w:tc>
          <w:tcPr>
            <w:tcW w:w="1170" w:type="dxa"/>
            <w:shd w:val="clear" w:color="auto" w:fill="284291"/>
            <w:tcMar>
              <w:top w:w="100" w:type="dxa"/>
              <w:left w:w="100" w:type="dxa"/>
              <w:bottom w:w="100" w:type="dxa"/>
              <w:right w:w="100" w:type="dxa"/>
            </w:tcMar>
            <w:vAlign w:val="center"/>
          </w:tcPr>
          <w:p w:rsidR="00B17437" w:rsidRDefault="00000000">
            <w:pPr>
              <w:widowControl w:val="0"/>
              <w:spacing w:line="240" w:lineRule="auto"/>
              <w:ind w:left="-90"/>
              <w:jc w:val="center"/>
              <w:rPr>
                <w:b/>
                <w:bCs/>
                <w:color w:val="FFFFFF"/>
              </w:rPr>
            </w:pPr>
            <w:r>
              <w:rPr>
                <w:b/>
                <w:bCs/>
                <w:color w:val="FFFFFF"/>
              </w:rPr>
              <w:t>Yes</w:t>
            </w:r>
          </w:p>
        </w:tc>
        <w:tc>
          <w:tcPr>
            <w:tcW w:w="1080" w:type="dxa"/>
            <w:shd w:val="clear" w:color="auto" w:fill="284291"/>
            <w:tcMar>
              <w:top w:w="100" w:type="dxa"/>
              <w:left w:w="100" w:type="dxa"/>
              <w:bottom w:w="100" w:type="dxa"/>
              <w:right w:w="100" w:type="dxa"/>
            </w:tcMar>
            <w:vAlign w:val="center"/>
          </w:tcPr>
          <w:p w:rsidR="00B17437" w:rsidRDefault="00000000">
            <w:pPr>
              <w:widowControl w:val="0"/>
              <w:spacing w:line="240" w:lineRule="auto"/>
              <w:ind w:left="-90"/>
              <w:jc w:val="center"/>
              <w:rPr>
                <w:b/>
                <w:bCs/>
                <w:color w:val="FFFFFF"/>
              </w:rPr>
            </w:pPr>
            <w:r>
              <w:rPr>
                <w:b/>
                <w:bCs/>
                <w:color w:val="FFFFFF"/>
              </w:rPr>
              <w:t>No</w:t>
            </w:r>
          </w:p>
        </w:tc>
        <w:tc>
          <w:tcPr>
            <w:tcW w:w="4320" w:type="dxa"/>
            <w:vMerge/>
            <w:tcBorders>
              <w:top w:val="single" w:sz="8" w:space="0" w:color="000000"/>
              <w:left w:val="single" w:sz="8" w:space="0" w:color="000000"/>
              <w:bottom w:val="single" w:sz="8" w:space="0" w:color="000000"/>
              <w:right w:val="single" w:sz="8" w:space="0" w:color="000000"/>
            </w:tcBorders>
            <w:shd w:val="clear" w:color="auto" w:fill="284291"/>
            <w:tcMar>
              <w:top w:w="100" w:type="dxa"/>
              <w:left w:w="100" w:type="dxa"/>
              <w:bottom w:w="100" w:type="dxa"/>
              <w:right w:w="100" w:type="dxa"/>
            </w:tcMar>
            <w:vAlign w:val="center"/>
          </w:tcPr>
          <w:p w:rsidR="00B17437" w:rsidRDefault="00B17437">
            <w:pPr>
              <w:widowControl w:val="0"/>
              <w:pBdr>
                <w:top w:val="nil"/>
                <w:left w:val="nil"/>
                <w:bottom w:val="nil"/>
                <w:right w:val="nil"/>
                <w:between w:val="nil"/>
              </w:pBdr>
              <w:rPr>
                <w:b/>
                <w:bCs/>
                <w:color w:val="FFFFFF"/>
              </w:rPr>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spacing w:line="240" w:lineRule="auto"/>
              <w:ind w:left="-20" w:firstLine="20"/>
              <w:rPr>
                <w:color w:val="0071C5"/>
              </w:rPr>
            </w:pPr>
            <w:r>
              <w:rPr>
                <w:b/>
                <w:bCs/>
                <w:color w:val="0071C5"/>
              </w:rPr>
              <w:t>Recruitment and Application Process</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Our recruitment materials explain what a PFA does using understandable language that resonates with the communities and populations we are trying to reach.</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 xml:space="preserve">Our recruitment materials use </w:t>
            </w:r>
            <w:hyperlink r:id="rId14">
              <w:r>
                <w:rPr>
                  <w:color w:val="1155CC"/>
                  <w:u w:val="single"/>
                </w:rPr>
                <w:t>best practices for people with lower literacy levels</w:t>
              </w:r>
            </w:hyperlink>
            <w:r>
              <w:t xml:space="preserve"> and follow </w:t>
            </w:r>
            <w:hyperlink r:id="rId15">
              <w:r>
                <w:rPr>
                  <w:color w:val="1155CC"/>
                  <w:u w:val="single"/>
                </w:rPr>
                <w:t>plain language guidelines</w:t>
              </w:r>
            </w:hyperlink>
            <w:r>
              <w:t>.</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provide recruitment and application materials in languages other than English.</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People can complete the PFA application process even if they do not have access to technology.</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5"/>
              <w:rPr>
                <w:color w:val="0071C5"/>
              </w:rPr>
            </w:pPr>
            <w:r>
              <w:rPr>
                <w:b/>
                <w:bCs/>
                <w:color w:val="0071C5"/>
              </w:rPr>
              <w:t>Background Checks and Other Requirements</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 xml:space="preserve">We provide opportunities for people to participate as PFAs without undergoing a background check. </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10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provide exemptions for background checks (e.g., for individuals without a social security number).</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753"/>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If there is a finding on a criminal background check, there are still options for serving as a PFA.</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right="345"/>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lastRenderedPageBreak/>
              <w:t>If there are other barriers (e.g., someone does not have a federal or state ID or required vaccines), there are still options for serving as a PFA.</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345"/>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5"/>
              <w:rPr>
                <w:b/>
                <w:bCs/>
              </w:rPr>
            </w:pPr>
            <w:r>
              <w:rPr>
                <w:b/>
                <w:bCs/>
                <w:color w:val="0071C5"/>
              </w:rPr>
              <w:t>Meeting Logistics</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hold PFAC meetings at times when a broad range of PFAs can attend (e.g., evenings or weekends).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64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tabs>
                <w:tab w:val="left" w:pos="392"/>
              </w:tabs>
              <w:spacing w:line="240" w:lineRule="auto"/>
              <w:ind w:left="-90" w:right="-64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consider cultural and religious holidays when scheduling PFAC meetings and events.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64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tabs>
                <w:tab w:val="left" w:pos="392"/>
              </w:tabs>
              <w:spacing w:line="240" w:lineRule="auto"/>
              <w:ind w:left="-90" w:right="-64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understand how far PFAs might have to travel and hold PFAC meetings and events in locations that are convenient for people who live in our hospital’s service area.</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64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tabs>
                <w:tab w:val="left" w:pos="392"/>
              </w:tabs>
              <w:spacing w:line="240" w:lineRule="auto"/>
              <w:ind w:left="-90" w:right="-643"/>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have options to hold PFAC meetings in community locations (e.g., community centers and public libraries).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64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tabs>
                <w:tab w:val="left" w:pos="392"/>
              </w:tabs>
              <w:spacing w:line="240" w:lineRule="auto"/>
              <w:ind w:left="-90" w:right="-643" w:hanging="720"/>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hold PFAC meetings and events in locations accessible via public transportation.</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643"/>
              <w:jc w:val="center"/>
            </w:pPr>
          </w:p>
        </w:tc>
        <w:tc>
          <w:tcPr>
            <w:tcW w:w="1080" w:type="dxa"/>
            <w:shd w:val="clear" w:color="auto" w:fill="auto"/>
            <w:tcMar>
              <w:top w:w="100" w:type="dxa"/>
              <w:left w:w="100" w:type="dxa"/>
              <w:bottom w:w="100" w:type="dxa"/>
              <w:right w:w="100" w:type="dxa"/>
            </w:tcMar>
            <w:vAlign w:val="center"/>
          </w:tcPr>
          <w:p w:rsidR="00B17437" w:rsidRDefault="00B17437">
            <w:pPr>
              <w:tabs>
                <w:tab w:val="left" w:pos="392"/>
              </w:tabs>
              <w:spacing w:line="240" w:lineRule="auto"/>
              <w:ind w:left="-90" w:right="-643" w:hanging="720"/>
              <w:jc w:val="center"/>
            </w:pPr>
          </w:p>
        </w:tc>
        <w:tc>
          <w:tcPr>
            <w:tcW w:w="4320" w:type="dxa"/>
            <w:shd w:val="clear" w:color="auto" w:fill="auto"/>
            <w:tcMar>
              <w:top w:w="100" w:type="dxa"/>
              <w:left w:w="100" w:type="dxa"/>
              <w:bottom w:w="100" w:type="dxa"/>
              <w:right w:w="100" w:type="dxa"/>
            </w:tcMar>
          </w:tcPr>
          <w:p w:rsidR="00B17437" w:rsidRDefault="00B17437">
            <w:pPr>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hold PFAC meetings and events in locations where parking is readily available and easy to access.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right="-643"/>
              <w:jc w:val="center"/>
            </w:pPr>
          </w:p>
        </w:tc>
        <w:tc>
          <w:tcPr>
            <w:tcW w:w="1080" w:type="dxa"/>
            <w:shd w:val="clear" w:color="auto" w:fill="auto"/>
            <w:tcMar>
              <w:top w:w="100" w:type="dxa"/>
              <w:left w:w="100" w:type="dxa"/>
              <w:bottom w:w="100" w:type="dxa"/>
              <w:right w:w="100" w:type="dxa"/>
            </w:tcMar>
            <w:vAlign w:val="center"/>
          </w:tcPr>
          <w:p w:rsidR="00B17437" w:rsidRDefault="00B17437">
            <w:pPr>
              <w:widowControl w:val="0"/>
              <w:tabs>
                <w:tab w:val="left" w:pos="392"/>
              </w:tabs>
              <w:spacing w:line="240" w:lineRule="auto"/>
              <w:ind w:left="-90" w:right="-643" w:hanging="720"/>
              <w:jc w:val="center"/>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0"/>
              <w:rPr>
                <w:b/>
                <w:bCs/>
                <w:color w:val="0071C5"/>
              </w:rPr>
            </w:pPr>
            <w:r>
              <w:rPr>
                <w:b/>
                <w:bCs/>
                <w:color w:val="0071C5"/>
              </w:rPr>
              <w:t>Virtual Participation</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offer the ability to participate in PFAC meetings virtually.</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lastRenderedPageBreak/>
              <w:t>We provide technology access for PFAs who need it (e.g., tablets or other devices, hot spots for members without reliable broadband access).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provide ongoing support for PFAs who need help with virtual communication platforms like Zoom or Microsoft Teams.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If we offer hybrid participation (both virtual and in-person), PFAs who attend meetings virtually can participate to the same extent as PFAs who attend in person.</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5"/>
              <w:rPr>
                <w:b/>
                <w:bCs/>
                <w:color w:val="0071C5"/>
              </w:rPr>
            </w:pPr>
            <w:r>
              <w:rPr>
                <w:b/>
                <w:bCs/>
                <w:color w:val="0071C5"/>
              </w:rPr>
              <w:t>Accommodations</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Physical meeting spaces are easily accessible for individuals with mobility issues, including wheelchair users and others.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are able to provide accommodations, including closed captioning and assistive listening devices.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ensure that all meeting participants can easily hear speakers and see visual information shared, regardless of whether the meeting is in-person or virtual.</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0"/>
              <w:rPr>
                <w:b/>
                <w:bCs/>
                <w:color w:val="0071C5"/>
              </w:rPr>
            </w:pPr>
            <w:r>
              <w:rPr>
                <w:b/>
                <w:bCs/>
                <w:color w:val="0071C5"/>
              </w:rPr>
              <w:t>Reimbursement and Support</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provide childcare for meetings.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offer reimbursement for childcare costs or provide a childcare stipend.</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lastRenderedPageBreak/>
              <w:t>We cover transportation costs to PFAC meetings and events, including mileage, parking, taxi or rideshare services (e.g., Uber or Lyft), and public transportation.</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provide culturally appropriate meals for in-person meetings (e.g., vegan, vegetarian, Halal, and Kosher options).</w:t>
            </w:r>
          </w:p>
          <w:p w:rsidR="00B17437" w:rsidRDefault="00B17437">
            <w:pPr>
              <w:widowControl w:val="0"/>
              <w:spacing w:line="240" w:lineRule="auto"/>
              <w:ind w:left="-20"/>
            </w:pPr>
          </w:p>
          <w:p w:rsidR="00B17437" w:rsidRDefault="00B17437">
            <w:pPr>
              <w:widowControl w:val="0"/>
              <w:spacing w:line="240" w:lineRule="auto"/>
              <w:ind w:left="-20"/>
            </w:pP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0"/>
              <w:rPr>
                <w:b/>
                <w:bCs/>
                <w:color w:val="0071C5"/>
              </w:rPr>
            </w:pPr>
            <w:r>
              <w:rPr>
                <w:b/>
                <w:bCs/>
                <w:color w:val="0071C5"/>
              </w:rPr>
              <w:t>Compensation</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provide monetary compensation for PFAs (e.g., a stipend, honorarium, or payment per meeting).</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spacing w:line="240" w:lineRule="auto"/>
              <w:ind w:left="-20"/>
            </w:pPr>
            <w:r>
              <w:t>We offer PFAs other types of compensation, such as paying for them to attend professional conferences or trainings.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If we provide compensation, we work with PFAs to ensure that compensation does not affect eligibility for public benefits.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If we provide compensation, PFAs can receive it without providing documentation (e.g., social security number or W9).</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700"/>
              </w:tabs>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tabs>
                <w:tab w:val="left" w:pos="2150"/>
              </w:tabs>
              <w:spacing w:line="240" w:lineRule="auto"/>
              <w:ind w:left="350" w:right="1250" w:hanging="350"/>
              <w:rPr>
                <w:color w:val="0071C5"/>
              </w:rPr>
            </w:pPr>
            <w:r>
              <w:rPr>
                <w:b/>
                <w:bCs/>
                <w:color w:val="0071C5"/>
              </w:rPr>
              <w:t>Translation, Interpretation, and Literacy</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translate (or have the ability to translate) all written meeting materials and communications to PFAC members in advance of meetings.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15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lastRenderedPageBreak/>
              <w:t>We provide (or can provide) interpretation during PFAC meetings.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15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provide (or can provide) interpretation in a variety of languages.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tabs>
                <w:tab w:val="left" w:pos="2150"/>
              </w:tabs>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 xml:space="preserve">We ensure that all written materials provided to PFAC members use plain language principles and appropriate reading levels. </w:t>
            </w:r>
          </w:p>
          <w:p w:rsidR="00B17437" w:rsidRDefault="00B17437">
            <w:pPr>
              <w:widowControl w:val="0"/>
              <w:spacing w:line="240" w:lineRule="auto"/>
              <w:ind w:left="-20"/>
            </w:pPr>
          </w:p>
          <w:p w:rsidR="00B17437" w:rsidRDefault="00B17437">
            <w:pPr>
              <w:widowControl w:val="0"/>
              <w:spacing w:line="240" w:lineRule="auto"/>
              <w:ind w:left="-20"/>
            </w:pP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spacing w:line="240" w:lineRule="auto"/>
              <w:ind w:left="-20"/>
              <w:rPr>
                <w:color w:val="0071C5"/>
              </w:rPr>
            </w:pPr>
            <w:r>
              <w:rPr>
                <w:b/>
                <w:bCs/>
                <w:color w:val="0071C5"/>
              </w:rPr>
              <w:t>Flexible Participation Options</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 xml:space="preserve">We have options that allow PFAs to participate with varying levels of commitment. </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If someone has difficulty attending meetings, there are still options for serving as a PFA.</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spacing w:line="240" w:lineRule="auto"/>
              <w:ind w:left="90" w:right="420"/>
            </w:pPr>
          </w:p>
        </w:tc>
      </w:tr>
      <w:tr w:rsidR="00B17437">
        <w:trPr>
          <w:trHeight w:val="420"/>
        </w:trPr>
        <w:tc>
          <w:tcPr>
            <w:tcW w:w="12870" w:type="dxa"/>
            <w:gridSpan w:val="4"/>
            <w:shd w:val="clear" w:color="auto" w:fill="CEDCF2"/>
            <w:tcMar>
              <w:top w:w="100" w:type="dxa"/>
              <w:left w:w="100" w:type="dxa"/>
              <w:bottom w:w="100" w:type="dxa"/>
              <w:right w:w="100" w:type="dxa"/>
            </w:tcMar>
            <w:vAlign w:val="center"/>
          </w:tcPr>
          <w:p w:rsidR="00B17437" w:rsidRDefault="00000000">
            <w:pPr>
              <w:widowControl w:val="0"/>
              <w:spacing w:line="240" w:lineRule="auto"/>
              <w:ind w:left="-20"/>
              <w:rPr>
                <w:color w:val="0071C5"/>
              </w:rPr>
            </w:pPr>
            <w:r>
              <w:rPr>
                <w:b/>
                <w:bCs/>
                <w:color w:val="0071C5"/>
              </w:rPr>
              <w:t>Orientation and Mentorship</w:t>
            </w: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provide orientation for new PFAs to create a welcoming and respectful environment.</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spacing w:line="240" w:lineRule="auto"/>
              <w:ind w:left="90" w:right="420"/>
            </w:pPr>
          </w:p>
        </w:tc>
      </w:tr>
      <w:tr w:rsidR="00B17437">
        <w:trPr>
          <w:trHeight w:val="420"/>
        </w:trPr>
        <w:tc>
          <w:tcPr>
            <w:tcW w:w="6300" w:type="dxa"/>
            <w:shd w:val="clear" w:color="auto" w:fill="auto"/>
            <w:tcMar>
              <w:top w:w="100" w:type="dxa"/>
              <w:left w:w="100" w:type="dxa"/>
              <w:bottom w:w="100" w:type="dxa"/>
              <w:right w:w="100" w:type="dxa"/>
            </w:tcMar>
          </w:tcPr>
          <w:p w:rsidR="00B17437" w:rsidRDefault="00000000">
            <w:pPr>
              <w:widowControl w:val="0"/>
              <w:spacing w:line="240" w:lineRule="auto"/>
              <w:ind w:left="-20"/>
            </w:pPr>
            <w:r>
              <w:t>We identify mentors for new PFAs who provide a safe space for them to share questions and concerns.</w:t>
            </w:r>
          </w:p>
        </w:tc>
        <w:tc>
          <w:tcPr>
            <w:tcW w:w="117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1080" w:type="dxa"/>
            <w:shd w:val="clear" w:color="auto" w:fill="auto"/>
            <w:tcMar>
              <w:top w:w="100" w:type="dxa"/>
              <w:left w:w="100" w:type="dxa"/>
              <w:bottom w:w="100" w:type="dxa"/>
              <w:right w:w="100" w:type="dxa"/>
            </w:tcMar>
            <w:vAlign w:val="center"/>
          </w:tcPr>
          <w:p w:rsidR="00B17437" w:rsidRDefault="00B17437">
            <w:pPr>
              <w:widowControl w:val="0"/>
              <w:spacing w:line="240" w:lineRule="auto"/>
              <w:ind w:left="-90" w:hanging="720"/>
            </w:pPr>
          </w:p>
        </w:tc>
        <w:tc>
          <w:tcPr>
            <w:tcW w:w="4320" w:type="dxa"/>
            <w:shd w:val="clear" w:color="auto" w:fill="auto"/>
            <w:tcMar>
              <w:top w:w="100" w:type="dxa"/>
              <w:left w:w="100" w:type="dxa"/>
              <w:bottom w:w="100" w:type="dxa"/>
              <w:right w:w="100" w:type="dxa"/>
            </w:tcMar>
          </w:tcPr>
          <w:p w:rsidR="00B17437" w:rsidRDefault="00B17437">
            <w:pPr>
              <w:widowControl w:val="0"/>
              <w:spacing w:line="240" w:lineRule="auto"/>
              <w:ind w:left="90" w:right="420"/>
            </w:pPr>
          </w:p>
        </w:tc>
      </w:tr>
    </w:tbl>
    <w:p w:rsidR="00B17437" w:rsidRDefault="00B17437">
      <w:pPr>
        <w:rPr>
          <w:sz w:val="18"/>
          <w:szCs w:val="18"/>
        </w:rPr>
      </w:pPr>
    </w:p>
    <w:sectPr w:rsidR="00B17437">
      <w:footerReference w:type="default" r:id="rId16"/>
      <w:pgSz w:w="15840" w:h="12240" w:orient="landscape"/>
      <w:pgMar w:top="1440" w:right="720" w:bottom="1440" w:left="1035" w:header="720" w:footer="14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1788" w:rsidRDefault="00321788">
      <w:pPr>
        <w:spacing w:line="240" w:lineRule="auto"/>
      </w:pPr>
      <w:r>
        <w:separator/>
      </w:r>
    </w:p>
  </w:endnote>
  <w:endnote w:type="continuationSeparator" w:id="0">
    <w:p w:rsidR="00321788" w:rsidRDefault="00321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A00229E-CF13-DB48-9A2F-0BCBA412263E}"/>
    <w:embedBold r:id="rId2" w:fontKey="{02D295EC-1586-8C49-A26B-CBF531EF7952}"/>
    <w:embedItalic r:id="rId3" w:fontKey="{FC3DC241-97DE-4144-B897-0522C8D88AD9}"/>
  </w:font>
  <w:font w:name="Times New Roman">
    <w:panose1 w:val="02020603050405020304"/>
    <w:charset w:val="00"/>
    <w:family w:val="roman"/>
    <w:pitch w:val="variable"/>
    <w:sig w:usb0="E0002EFF" w:usb1="C000785B" w:usb2="00000009" w:usb3="00000000" w:csb0="000001FF" w:csb1="00000000"/>
    <w:embedRegular r:id="rId4" w:fontKey="{01655C13-75BA-8C45-AC61-326A1B0CA31B}"/>
    <w:embedBold r:id="rId5" w:fontKey="{2B11BF4C-BB74-8B43-938B-62F11391B68F}"/>
  </w:font>
  <w:font w:name="Arial Narrow">
    <w:panose1 w:val="020B05060202020A0204"/>
    <w:charset w:val="00"/>
    <w:family w:val="swiss"/>
    <w:pitch w:val="variable"/>
    <w:sig w:usb0="00000287" w:usb1="00000800" w:usb2="00000000" w:usb3="00000000" w:csb0="0000009F" w:csb1="00000000"/>
    <w:embedRegular r:id="rId6" w:fontKey="{0FE2C6A2-1A59-DE43-B119-D49E340FCE26}"/>
    <w:embedItalic r:id="rId7" w:fontKey="{CCE96CD7-F727-0344-B689-C9E5C6E7515A}"/>
  </w:font>
  <w:font w:name="Calibri">
    <w:panose1 w:val="020F0502020204030204"/>
    <w:charset w:val="00"/>
    <w:family w:val="swiss"/>
    <w:pitch w:val="variable"/>
    <w:sig w:usb0="E4002EFF" w:usb1="C200247B" w:usb2="00000009" w:usb3="00000000" w:csb0="000001FF" w:csb1="00000000"/>
    <w:embedRegular r:id="rId8" w:fontKey="{3631D3BD-FBBB-0B44-B261-186C275BC9CE}"/>
  </w:font>
  <w:font w:name="Cambria">
    <w:panose1 w:val="02040503050406030204"/>
    <w:charset w:val="00"/>
    <w:family w:val="roman"/>
    <w:pitch w:val="variable"/>
    <w:sig w:usb0="E00006FF" w:usb1="420024FF" w:usb2="02000000" w:usb3="00000000" w:csb0="0000019F" w:csb1="00000000"/>
    <w:embedRegular r:id="rId9" w:fontKey="{272D7FD9-FCAE-3441-AC06-1AC0C2796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7437"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B17437" w:rsidRDefault="00B17437">
    <w:pPr>
      <w:pBdr>
        <w:top w:val="nil"/>
        <w:left w:val="nil"/>
        <w:bottom w:val="nil"/>
        <w:right w:val="nil"/>
        <w:between w:val="nil"/>
      </w:pBdr>
      <w:tabs>
        <w:tab w:val="center" w:pos="4680"/>
        <w:tab w:val="right" w:pos="9360"/>
      </w:tabs>
      <w:spacing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7437" w:rsidRDefault="00B17437">
    <w:pPr>
      <w:pBdr>
        <w:top w:val="nil"/>
        <w:left w:val="nil"/>
        <w:bottom w:val="nil"/>
        <w:right w:val="nil"/>
        <w:between w:val="nil"/>
      </w:pBdr>
      <w:tabs>
        <w:tab w:val="center" w:pos="4680"/>
        <w:tab w:val="right" w:pos="9360"/>
      </w:tabs>
      <w:spacing w:line="240" w:lineRule="auto"/>
      <w:rPr>
        <w:color w:val="000000"/>
        <w:sz w:val="19"/>
        <w:szCs w:val="19"/>
      </w:rPr>
    </w:pPr>
  </w:p>
  <w:p w:rsidR="00B17437" w:rsidRDefault="00000000">
    <w:pPr>
      <w:pBdr>
        <w:top w:val="nil"/>
        <w:left w:val="nil"/>
        <w:bottom w:val="nil"/>
        <w:right w:val="nil"/>
        <w:between w:val="nil"/>
      </w:pBdr>
      <w:tabs>
        <w:tab w:val="center" w:pos="4680"/>
        <w:tab w:val="right" w:pos="9360"/>
      </w:tabs>
      <w:spacing w:line="240" w:lineRule="auto"/>
      <w:ind w:left="-720" w:firstLine="540"/>
      <w:rPr>
        <w:color w:val="000000"/>
        <w:sz w:val="19"/>
        <w:szCs w:val="19"/>
      </w:rPr>
    </w:pPr>
    <w:r>
      <w:rPr>
        <w:color w:val="000000"/>
        <w:sz w:val="19"/>
        <w:szCs w:val="19"/>
      </w:rPr>
      <w:t xml:space="preserve">  </w:t>
    </w:r>
    <w:r>
      <w:rPr>
        <w:color w:val="0070C0"/>
        <w:sz w:val="19"/>
        <w:szCs w:val="19"/>
      </w:rPr>
      <w:t>•</w:t>
    </w:r>
    <w:r>
      <w:rPr>
        <w:color w:val="000000"/>
        <w:sz w:val="19"/>
        <w:szCs w:val="19"/>
      </w:rPr>
      <w:t xml:space="preserve"> </w:t>
    </w:r>
    <w:r w:rsidRPr="0074305B">
      <w:rPr>
        <w:rFonts w:ascii="Arial Narrow" w:hAnsi="Arial Narrow"/>
        <w:i/>
        <w:iCs/>
        <w:color w:val="674EA7"/>
        <w:sz w:val="19"/>
        <w:szCs w:val="19"/>
      </w:rPr>
      <w:t>I</w:t>
    </w:r>
    <w:r>
      <w:rPr>
        <w:rFonts w:ascii="Arial Narrow" w:eastAsia="Arial Narrow" w:hAnsi="Arial Narrow" w:cs="Arial Narrow"/>
        <w:color w:val="674EA7"/>
        <w:sz w:val="19"/>
        <w:szCs w:val="19"/>
      </w:rPr>
      <w:t>NSTITUTE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fldChar w:fldCharType="begin"/>
    </w:r>
    <w:r>
      <w:rPr>
        <w:sz w:val="19"/>
        <w:szCs w:val="19"/>
      </w:rPr>
      <w:instrText>PAGE</w:instrText>
    </w:r>
    <w:r>
      <w:rPr>
        <w:sz w:val="19"/>
        <w:szCs w:val="19"/>
      </w:rPr>
      <w:fldChar w:fldCharType="separate"/>
    </w:r>
    <w:r w:rsidR="0074305B">
      <w:rPr>
        <w:noProof/>
        <w:sz w:val="19"/>
        <w:szCs w:val="19"/>
      </w:rPr>
      <w:t>1</w:t>
    </w:r>
    <w:r>
      <w:rPr>
        <w:sz w:val="19"/>
        <w:szCs w:val="19"/>
      </w:rPr>
      <w:fldChar w:fldCharType="end"/>
    </w:r>
  </w:p>
  <w:p w:rsidR="00B17437" w:rsidRDefault="00B174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05B" w:rsidRDefault="007430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7437" w:rsidRDefault="00B17437">
    <w:pPr>
      <w:pBdr>
        <w:top w:val="nil"/>
        <w:left w:val="nil"/>
        <w:bottom w:val="nil"/>
        <w:right w:val="nil"/>
        <w:between w:val="nil"/>
      </w:pBdr>
      <w:tabs>
        <w:tab w:val="center" w:pos="4680"/>
        <w:tab w:val="right" w:pos="9360"/>
      </w:tabs>
      <w:spacing w:line="240" w:lineRule="auto"/>
      <w:rPr>
        <w:color w:val="000000"/>
        <w:sz w:val="19"/>
        <w:szCs w:val="19"/>
      </w:rPr>
    </w:pPr>
  </w:p>
  <w:p w:rsidR="00B17437" w:rsidRDefault="00000000">
    <w:pPr>
      <w:pBdr>
        <w:top w:val="nil"/>
        <w:left w:val="nil"/>
        <w:bottom w:val="nil"/>
        <w:right w:val="nil"/>
        <w:between w:val="nil"/>
      </w:pBdr>
      <w:tabs>
        <w:tab w:val="center" w:pos="4680"/>
        <w:tab w:val="right" w:pos="9360"/>
      </w:tabs>
      <w:spacing w:line="240" w:lineRule="auto"/>
      <w:ind w:left="-720" w:firstLine="540"/>
      <w:rPr>
        <w:color w:val="000000"/>
        <w:sz w:val="19"/>
        <w:szCs w:val="19"/>
      </w:rPr>
    </w:pPr>
    <w:r>
      <w:rPr>
        <w:color w:val="000000"/>
        <w:sz w:val="19"/>
        <w:szCs w:val="19"/>
      </w:rPr>
      <w:t xml:space="preserve">  </w:t>
    </w:r>
    <w:r>
      <w:rPr>
        <w:color w:val="0070C0"/>
        <w:sz w:val="19"/>
        <w:szCs w:val="19"/>
      </w:rPr>
      <w:t>•</w:t>
    </w:r>
    <w:r>
      <w:rPr>
        <w:color w:val="000000"/>
        <w:sz w:val="19"/>
        <w:szCs w:val="19"/>
      </w:rPr>
      <w:t xml:space="preserve"> </w:t>
    </w:r>
    <w:r w:rsidRPr="0074305B">
      <w:rPr>
        <w:rFonts w:ascii="Arial Narrow" w:hAnsi="Arial Narrow"/>
        <w:i/>
        <w:iCs/>
        <w:color w:val="674EA7"/>
        <w:sz w:val="19"/>
        <w:szCs w:val="19"/>
      </w:rPr>
      <w:t>I</w:t>
    </w:r>
    <w:r w:rsidRPr="0074305B">
      <w:rPr>
        <w:rFonts w:ascii="Arial Narrow" w:eastAsia="Arial Narrow" w:hAnsi="Arial Narrow" w:cs="Arial Narrow"/>
        <w:i/>
        <w:iCs/>
        <w:color w:val="674EA7"/>
        <w:sz w:val="19"/>
        <w:szCs w:val="19"/>
      </w:rPr>
      <w:t>N</w:t>
    </w:r>
    <w:r>
      <w:rPr>
        <w:rFonts w:ascii="Arial Narrow" w:eastAsia="Arial Narrow" w:hAnsi="Arial Narrow" w:cs="Arial Narrow"/>
        <w:color w:val="674EA7"/>
        <w:sz w:val="19"/>
        <w:szCs w:val="19"/>
      </w:rPr>
      <w:t>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r>
    <w:r>
      <w:rPr>
        <w:sz w:val="19"/>
        <w:szCs w:val="19"/>
      </w:rPr>
      <w:instrText>PAGE</w:instrText>
    </w:r>
    <w:r>
      <w:rPr>
        <w:sz w:val="19"/>
        <w:szCs w:val="19"/>
      </w:rPr>
      <w:fldChar w:fldCharType="separate"/>
    </w:r>
    <w:r w:rsidR="0074305B">
      <w:rPr>
        <w:noProof/>
        <w:sz w:val="19"/>
        <w:szCs w:val="19"/>
      </w:rPr>
      <w:t>2</w:t>
    </w:r>
    <w:r>
      <w:rPr>
        <w:sz w:val="19"/>
        <w:szCs w:val="19"/>
      </w:rPr>
      <w:fldChar w:fldCharType="end"/>
    </w:r>
  </w:p>
  <w:p w:rsidR="00B17437" w:rsidRDefault="00B174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1788" w:rsidRDefault="00321788">
      <w:pPr>
        <w:spacing w:line="240" w:lineRule="auto"/>
      </w:pPr>
      <w:r>
        <w:separator/>
      </w:r>
    </w:p>
  </w:footnote>
  <w:footnote w:type="continuationSeparator" w:id="0">
    <w:p w:rsidR="00321788" w:rsidRDefault="003217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05B" w:rsidRDefault="00743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05B" w:rsidRDefault="007430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05B" w:rsidRDefault="007430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37"/>
    <w:rsid w:val="00321788"/>
    <w:rsid w:val="0074305B"/>
    <w:rsid w:val="00B1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customStyle="1" w:styleId="normal0">
    <w:name w:val="normal_0"/>
  </w:style>
  <w:style w:type="table" w:customStyle="1" w:styleId="TableNormal00">
    <w:name w:val="Table Normal_0"/>
    <w:tblPr>
      <w:tblCellMar>
        <w:top w:w="0" w:type="dxa"/>
        <w:left w:w="0" w:type="dxa"/>
        <w:bottom w:w="0" w:type="dxa"/>
        <w:right w:w="0" w:type="dxa"/>
      </w:tblCellMar>
    </w:tbl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6040"/>
    <w:rPr>
      <w:b/>
      <w:bCs/>
    </w:rPr>
  </w:style>
  <w:style w:type="character" w:customStyle="1" w:styleId="CommentSubjectChar">
    <w:name w:val="Comment Subject Char"/>
    <w:basedOn w:val="CommentTextChar"/>
    <w:link w:val="CommentSubject"/>
    <w:uiPriority w:val="99"/>
    <w:semiHidden/>
    <w:rsid w:val="008D6040"/>
    <w:rPr>
      <w:b/>
      <w:bCs/>
      <w:sz w:val="20"/>
      <w:szCs w:val="20"/>
    </w:rPr>
  </w:style>
  <w:style w:type="table" w:customStyle="1" w:styleId="Table1">
    <w:name w:val="Table1"/>
    <w:basedOn w:val="TableNormal"/>
    <w:tblPr>
      <w:tblStyleRowBandSize w:val="1"/>
      <w:tblStyleColBandSize w:val="1"/>
      <w:tblCellMar>
        <w:top w:w="100" w:type="dxa"/>
        <w:left w:w="100" w:type="dxa"/>
        <w:bottom w:w="100" w:type="dxa"/>
        <w:right w:w="100" w:type="dxa"/>
      </w:tblCellMar>
    </w:tblPr>
  </w:style>
  <w:style w:type="table" w:customStyle="1" w:styleId="Table10">
    <w:name w:val="Table1_0"/>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F3218"/>
    <w:pPr>
      <w:tabs>
        <w:tab w:val="center" w:pos="4680"/>
        <w:tab w:val="right" w:pos="9360"/>
      </w:tabs>
      <w:spacing w:line="240" w:lineRule="auto"/>
    </w:pPr>
  </w:style>
  <w:style w:type="character" w:customStyle="1" w:styleId="HeaderChar">
    <w:name w:val="Header Char"/>
    <w:basedOn w:val="DefaultParagraphFont"/>
    <w:link w:val="Header"/>
    <w:uiPriority w:val="99"/>
    <w:rsid w:val="00BF3218"/>
  </w:style>
  <w:style w:type="paragraph" w:styleId="Footer">
    <w:name w:val="footer"/>
    <w:basedOn w:val="Normal"/>
    <w:link w:val="FooterChar"/>
    <w:uiPriority w:val="99"/>
    <w:unhideWhenUsed/>
    <w:rsid w:val="00BF3218"/>
    <w:pPr>
      <w:tabs>
        <w:tab w:val="center" w:pos="4680"/>
        <w:tab w:val="right" w:pos="9360"/>
      </w:tabs>
      <w:spacing w:line="240" w:lineRule="auto"/>
    </w:pPr>
  </w:style>
  <w:style w:type="character" w:customStyle="1" w:styleId="FooterChar">
    <w:name w:val="Footer Char"/>
    <w:basedOn w:val="DefaultParagraphFont"/>
    <w:link w:val="Footer"/>
    <w:uiPriority w:val="99"/>
    <w:rsid w:val="00BF3218"/>
  </w:style>
  <w:style w:type="character" w:styleId="PageNumber">
    <w:name w:val="page number"/>
    <w:basedOn w:val="DefaultParagraphFont"/>
    <w:uiPriority w:val="99"/>
    <w:semiHidden/>
    <w:unhideWhenUsed/>
    <w:rsid w:val="00BF3218"/>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lainlanguage.gov/resources/checklists/checklist/"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nih.gov/institutes-nih/nih-office-director/office-communications-public-liaison/clear-communication/clear-simp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sRg6jNR40JqAzYUa7j0onyP46Q==">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866</Words>
  <Characters>4942</Characters>
  <Application>Microsoft Office Word</Application>
  <DocSecurity>0</DocSecurity>
  <Lines>41</Lines>
  <Paragraphs>11</Paragraphs>
  <ScaleCrop>false</ScaleCrop>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2024-12-13T17:54:00Z</dcterms:created>
  <dcterms:modified xsi:type="dcterms:W3CDTF">2025-12-08T19:45:00Z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